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</w:t>
      </w:r>
      <w:proofErr w:type="spellStart"/>
      <w:r w:rsidRPr="00A23F22">
        <w:rPr>
          <w:sz w:val="24"/>
          <w:szCs w:val="24"/>
        </w:rPr>
        <w:t>Beletinec</w:t>
      </w:r>
      <w:proofErr w:type="spellEnd"/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0E7C4493" w:rsidR="00326153" w:rsidRPr="00C1153B" w:rsidRDefault="00326153" w:rsidP="00A23F22">
      <w:pPr>
        <w:spacing w:line="276" w:lineRule="auto"/>
        <w:rPr>
          <w:sz w:val="24"/>
          <w:szCs w:val="24"/>
        </w:rPr>
      </w:pPr>
      <w:r w:rsidRPr="00C1153B">
        <w:rPr>
          <w:sz w:val="24"/>
          <w:szCs w:val="24"/>
        </w:rPr>
        <w:t>KLASA: 112-07/21-01/</w:t>
      </w:r>
      <w:r w:rsidR="0001310B" w:rsidRPr="00C1153B">
        <w:rPr>
          <w:sz w:val="24"/>
          <w:szCs w:val="24"/>
        </w:rPr>
        <w:t>5</w:t>
      </w:r>
    </w:p>
    <w:p w14:paraId="2176367A" w14:textId="3E81978D" w:rsidR="00326153" w:rsidRPr="00C1153B" w:rsidRDefault="00326153" w:rsidP="00A23F22">
      <w:pPr>
        <w:spacing w:line="276" w:lineRule="auto"/>
        <w:rPr>
          <w:sz w:val="24"/>
          <w:szCs w:val="24"/>
        </w:rPr>
      </w:pPr>
      <w:r w:rsidRPr="00C1153B">
        <w:rPr>
          <w:sz w:val="24"/>
          <w:szCs w:val="24"/>
        </w:rPr>
        <w:t>URBROJ: 2186-113-01-21-</w:t>
      </w:r>
      <w:r w:rsidR="00BD1C8E">
        <w:rPr>
          <w:sz w:val="24"/>
          <w:szCs w:val="24"/>
        </w:rPr>
        <w:t>12</w:t>
      </w:r>
      <w:bookmarkStart w:id="1" w:name="_GoBack"/>
      <w:bookmarkEnd w:id="1"/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1FB53203" w:rsidR="00BE4D5B" w:rsidRPr="00A23F22" w:rsidRDefault="00745756" w:rsidP="00A23F22">
      <w:pPr>
        <w:spacing w:line="276" w:lineRule="auto"/>
        <w:ind w:left="116" w:right="7016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8E6820">
        <w:rPr>
          <w:sz w:val="24"/>
          <w:szCs w:val="24"/>
        </w:rPr>
        <w:t>6.12</w:t>
      </w:r>
      <w:r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A23F22">
      <w:pPr>
        <w:spacing w:line="276" w:lineRule="auto"/>
        <w:rPr>
          <w:sz w:val="24"/>
          <w:szCs w:val="24"/>
        </w:rPr>
      </w:pPr>
    </w:p>
    <w:p w14:paraId="33EBA6B4" w14:textId="77777777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50409CDD" w14:textId="77777777" w:rsidR="008E6820" w:rsidRDefault="00822319" w:rsidP="00CF364D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326153" w:rsidRPr="00A23F22">
        <w:rPr>
          <w:sz w:val="24"/>
          <w:szCs w:val="24"/>
        </w:rPr>
        <w:t xml:space="preserve">UČITELJ/ICA </w:t>
      </w:r>
    </w:p>
    <w:p w14:paraId="769886F4" w14:textId="4F321AF2" w:rsidR="00BE4D5B" w:rsidRPr="00A23F22" w:rsidRDefault="008E6820" w:rsidP="00CF364D">
      <w:pPr>
        <w:spacing w:line="276" w:lineRule="auto"/>
        <w:ind w:right="224"/>
        <w:jc w:val="center"/>
        <w:rPr>
          <w:sz w:val="24"/>
          <w:szCs w:val="24"/>
        </w:rPr>
      </w:pPr>
      <w:r>
        <w:rPr>
          <w:sz w:val="24"/>
          <w:szCs w:val="24"/>
        </w:rPr>
        <w:t>TJELESNE I ZDRAVSTVENE KULTURE</w:t>
      </w: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4A20D642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68C86FAD" w14:textId="77777777" w:rsidR="00CF364D" w:rsidRPr="00A23F22" w:rsidRDefault="00CF364D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3E325D03" w14:textId="0AD04DAB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UČITELJ/ICA </w:t>
      </w:r>
      <w:r w:rsidR="008E6820">
        <w:rPr>
          <w:sz w:val="24"/>
          <w:szCs w:val="24"/>
        </w:rPr>
        <w:t>TJELESNE I ZDRAVSTVENE KULTURE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– </w:t>
      </w:r>
      <w:r w:rsidR="008E6820">
        <w:rPr>
          <w:sz w:val="24"/>
          <w:szCs w:val="24"/>
        </w:rPr>
        <w:t>24</w:t>
      </w:r>
      <w:r w:rsidRPr="00A23F22">
        <w:rPr>
          <w:sz w:val="24"/>
          <w:szCs w:val="24"/>
        </w:rPr>
        <w:t xml:space="preserve"> sati </w:t>
      </w:r>
      <w:proofErr w:type="spellStart"/>
      <w:r w:rsidRPr="00A23F22">
        <w:rPr>
          <w:sz w:val="24"/>
          <w:szCs w:val="24"/>
        </w:rPr>
        <w:t>tjedno</w:t>
      </w:r>
      <w:proofErr w:type="spellEnd"/>
      <w:r w:rsidRPr="00A23F22">
        <w:rPr>
          <w:sz w:val="24"/>
          <w:szCs w:val="24"/>
        </w:rPr>
        <w:t>,</w:t>
      </w:r>
      <w:r w:rsidR="008E6820">
        <w:rPr>
          <w:sz w:val="24"/>
          <w:szCs w:val="24"/>
        </w:rPr>
        <w:t xml:space="preserve"> </w:t>
      </w:r>
      <w:proofErr w:type="spellStart"/>
      <w:r w:rsidR="008E6820">
        <w:rPr>
          <w:sz w:val="24"/>
          <w:szCs w:val="24"/>
        </w:rPr>
        <w:t>zamjena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19A5FE4A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proofErr w:type="spellStart"/>
      <w:r w:rsidR="00745756" w:rsidRPr="00A23F22">
        <w:rPr>
          <w:sz w:val="24"/>
          <w:szCs w:val="24"/>
        </w:rPr>
        <w:t>Beletinec</w:t>
      </w:r>
      <w:proofErr w:type="spellEnd"/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FC1773">
        <w:rPr>
          <w:sz w:val="24"/>
          <w:szCs w:val="24"/>
        </w:rPr>
        <w:t xml:space="preserve">22. </w:t>
      </w:r>
      <w:proofErr w:type="spellStart"/>
      <w:r w:rsidR="00FC1773">
        <w:rPr>
          <w:sz w:val="24"/>
          <w:szCs w:val="24"/>
        </w:rPr>
        <w:t>studenog</w:t>
      </w:r>
      <w:proofErr w:type="spellEnd"/>
      <w:r w:rsidR="002D3B36" w:rsidRPr="00A23F22">
        <w:rPr>
          <w:sz w:val="24"/>
          <w:szCs w:val="24"/>
        </w:rPr>
        <w:t xml:space="preserve"> 2021.).</w:t>
      </w:r>
    </w:p>
    <w:p w14:paraId="33ADB4CA" w14:textId="7753567F" w:rsidR="00BE4D5B" w:rsidRPr="00A23F22" w:rsidRDefault="002D3B36" w:rsidP="00A23F22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od </w:t>
      </w:r>
      <w:r w:rsidR="00FC1773">
        <w:rPr>
          <w:sz w:val="24"/>
          <w:szCs w:val="24"/>
        </w:rPr>
        <w:t>22.studenog</w:t>
      </w:r>
      <w:r w:rsidRPr="00A23F22">
        <w:rPr>
          <w:sz w:val="24"/>
          <w:szCs w:val="24"/>
        </w:rPr>
        <w:t xml:space="preserve"> 2021.</w:t>
      </w:r>
      <w:proofErr w:type="gramStart"/>
      <w:r w:rsidRPr="00A23F22">
        <w:rPr>
          <w:sz w:val="24"/>
          <w:szCs w:val="24"/>
        </w:rPr>
        <w:t>,  KLASA</w:t>
      </w:r>
      <w:proofErr w:type="gramEnd"/>
      <w:r w:rsidRPr="00A23F22">
        <w:rPr>
          <w:sz w:val="24"/>
          <w:szCs w:val="24"/>
        </w:rPr>
        <w:t>: 112-07/21-01/</w:t>
      </w:r>
      <w:r w:rsidR="00F23ABA">
        <w:rPr>
          <w:sz w:val="24"/>
          <w:szCs w:val="24"/>
        </w:rPr>
        <w:t>5</w:t>
      </w:r>
      <w:r w:rsidRPr="00A23F22">
        <w:rPr>
          <w:sz w:val="24"/>
          <w:szCs w:val="24"/>
        </w:rPr>
        <w:t>, URBROJ: 2186-113-01-21-</w:t>
      </w:r>
      <w:r w:rsidR="00F23ABA">
        <w:rPr>
          <w:sz w:val="24"/>
          <w:szCs w:val="24"/>
        </w:rPr>
        <w:t>2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r w:rsidR="00FC1773">
        <w:rPr>
          <w:sz w:val="24"/>
          <w:szCs w:val="24"/>
        </w:rPr>
        <w:t xml:space="preserve">6. </w:t>
      </w:r>
      <w:proofErr w:type="spellStart"/>
      <w:r w:rsidR="00FC1773">
        <w:rPr>
          <w:sz w:val="24"/>
          <w:szCs w:val="24"/>
        </w:rPr>
        <w:t>prosinca</w:t>
      </w:r>
      <w:proofErr w:type="spellEnd"/>
      <w:r w:rsidRPr="00A23F22">
        <w:rPr>
          <w:sz w:val="24"/>
          <w:szCs w:val="24"/>
        </w:rPr>
        <w:t xml:space="preserve"> 2021.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su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podnijeli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pravovremene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potpune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prijave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ispunjavaju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propisane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formalne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uvjete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22319" w:rsidRPr="00A23F22">
        <w:rPr>
          <w:sz w:val="24"/>
          <w:szCs w:val="24"/>
        </w:rPr>
        <w:t xml:space="preserve"> (</w:t>
      </w:r>
      <w:proofErr w:type="spellStart"/>
      <w:r w:rsidR="00822319" w:rsidRPr="00A23F22">
        <w:rPr>
          <w:sz w:val="24"/>
          <w:szCs w:val="24"/>
        </w:rPr>
        <w:t>pisani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 xml:space="preserve">)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FC1773">
        <w:rPr>
          <w:sz w:val="24"/>
          <w:szCs w:val="24"/>
        </w:rPr>
        <w:t>13.12</w:t>
      </w:r>
      <w:r w:rsidR="00745756"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F364D">
        <w:rPr>
          <w:sz w:val="24"/>
          <w:szCs w:val="24"/>
        </w:rPr>
        <w:t>12:30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proofErr w:type="spellStart"/>
      <w:r w:rsidR="00745756" w:rsidRPr="00A23F22">
        <w:rPr>
          <w:sz w:val="24"/>
          <w:szCs w:val="24"/>
        </w:rPr>
        <w:t>Beletinec</w:t>
      </w:r>
      <w:proofErr w:type="spellEnd"/>
      <w:r w:rsidR="00745756" w:rsidRPr="00A23F22">
        <w:rPr>
          <w:sz w:val="24"/>
          <w:szCs w:val="24"/>
        </w:rPr>
        <w:t xml:space="preserve">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</w:t>
      </w:r>
      <w:proofErr w:type="spellStart"/>
      <w:r w:rsidR="00745756" w:rsidRPr="00A23F22">
        <w:rPr>
          <w:sz w:val="24"/>
          <w:szCs w:val="24"/>
        </w:rPr>
        <w:t>Beletinec</w:t>
      </w:r>
      <w:proofErr w:type="spellEnd"/>
      <w:r w:rsidR="00A23F22" w:rsidRPr="00A23F22">
        <w:rPr>
          <w:sz w:val="24"/>
          <w:szCs w:val="24"/>
        </w:rPr>
        <w:t>.</w:t>
      </w:r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terminu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razgovora</w:t>
      </w:r>
      <w:proofErr w:type="spellEnd"/>
      <w:r w:rsidRPr="00A23F22">
        <w:rPr>
          <w:sz w:val="24"/>
          <w:szCs w:val="24"/>
        </w:rPr>
        <w:t xml:space="preserve"> </w:t>
      </w:r>
      <w:r w:rsidR="005F371C" w:rsidRPr="00A23F22">
        <w:rPr>
          <w:sz w:val="24"/>
          <w:szCs w:val="24"/>
        </w:rPr>
        <w:t>(</w:t>
      </w:r>
      <w:proofErr w:type="spellStart"/>
      <w:r w:rsidR="005F371C" w:rsidRPr="00A23F22">
        <w:rPr>
          <w:sz w:val="24"/>
          <w:szCs w:val="24"/>
        </w:rPr>
        <w:t>intervjua</w:t>
      </w:r>
      <w:proofErr w:type="spellEnd"/>
      <w:r w:rsidR="005F371C"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naknadno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obaviješteni</w:t>
      </w:r>
      <w:proofErr w:type="spellEnd"/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BA04A65" w14:textId="793D6BF4" w:rsidR="005F371C" w:rsidRPr="00A23F22" w:rsidRDefault="00822319" w:rsidP="00A23F22">
      <w:pPr>
        <w:spacing w:line="276" w:lineRule="auto"/>
        <w:ind w:left="116" w:right="7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r w:rsidRPr="00A23F22">
        <w:rPr>
          <w:sz w:val="24"/>
          <w:szCs w:val="24"/>
        </w:rPr>
        <w:t xml:space="preserve">  da  se 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="005F371C" w:rsidRPr="00A23F22">
        <w:rPr>
          <w:sz w:val="24"/>
          <w:szCs w:val="24"/>
        </w:rPr>
        <w:t>za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b/>
          <w:sz w:val="24"/>
          <w:szCs w:val="24"/>
        </w:rPr>
        <w:t>učitelj</w:t>
      </w:r>
      <w:proofErr w:type="spellEnd"/>
      <w:r w:rsidR="005F371C" w:rsidRPr="00A23F22">
        <w:rPr>
          <w:b/>
          <w:sz w:val="24"/>
          <w:szCs w:val="24"/>
        </w:rPr>
        <w:t>/</w:t>
      </w:r>
      <w:proofErr w:type="spellStart"/>
      <w:r w:rsidR="005F371C" w:rsidRPr="00A23F22">
        <w:rPr>
          <w:b/>
          <w:sz w:val="24"/>
          <w:szCs w:val="24"/>
        </w:rPr>
        <w:t>učiteljica</w:t>
      </w:r>
      <w:proofErr w:type="spellEnd"/>
      <w:r w:rsidR="005F371C" w:rsidRPr="00A23F22">
        <w:rPr>
          <w:b/>
          <w:sz w:val="24"/>
          <w:szCs w:val="24"/>
        </w:rPr>
        <w:t xml:space="preserve"> </w:t>
      </w:r>
      <w:proofErr w:type="spellStart"/>
      <w:r w:rsidR="00FC1773">
        <w:rPr>
          <w:b/>
          <w:sz w:val="24"/>
          <w:szCs w:val="24"/>
        </w:rPr>
        <w:t>tjelesne</w:t>
      </w:r>
      <w:proofErr w:type="spellEnd"/>
      <w:r w:rsidR="00FC1773">
        <w:rPr>
          <w:b/>
          <w:sz w:val="24"/>
          <w:szCs w:val="24"/>
        </w:rPr>
        <w:t xml:space="preserve"> </w:t>
      </w:r>
      <w:proofErr w:type="spellStart"/>
      <w:r w:rsidR="00FC1773">
        <w:rPr>
          <w:b/>
          <w:sz w:val="24"/>
          <w:szCs w:val="24"/>
        </w:rPr>
        <w:t>i</w:t>
      </w:r>
      <w:proofErr w:type="spellEnd"/>
      <w:r w:rsidR="00FC1773">
        <w:rPr>
          <w:b/>
          <w:sz w:val="24"/>
          <w:szCs w:val="24"/>
        </w:rPr>
        <w:t xml:space="preserve"> </w:t>
      </w:r>
      <w:proofErr w:type="spellStart"/>
      <w:r w:rsidR="00FC1773">
        <w:rPr>
          <w:b/>
          <w:sz w:val="24"/>
          <w:szCs w:val="24"/>
        </w:rPr>
        <w:t>zdravstvene</w:t>
      </w:r>
      <w:proofErr w:type="spellEnd"/>
      <w:r w:rsidR="00FC1773">
        <w:rPr>
          <w:b/>
          <w:sz w:val="24"/>
          <w:szCs w:val="24"/>
        </w:rPr>
        <w:t xml:space="preserve"> </w:t>
      </w:r>
      <w:proofErr w:type="spellStart"/>
      <w:r w:rsidR="00FC1773">
        <w:rPr>
          <w:b/>
          <w:sz w:val="24"/>
          <w:szCs w:val="24"/>
        </w:rPr>
        <w:t>kulture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prijavilo</w:t>
      </w:r>
      <w:proofErr w:type="spellEnd"/>
      <w:r w:rsidRPr="00A23F22">
        <w:rPr>
          <w:sz w:val="24"/>
          <w:szCs w:val="24"/>
        </w:rPr>
        <w:t xml:space="preserve"> </w:t>
      </w:r>
      <w:r w:rsidR="0001310B">
        <w:rPr>
          <w:sz w:val="24"/>
          <w:szCs w:val="24"/>
        </w:rPr>
        <w:t>7</w:t>
      </w:r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kandidat</w:t>
      </w:r>
      <w:r w:rsidR="00D07099" w:rsidRPr="00A23F22">
        <w:rPr>
          <w:sz w:val="24"/>
          <w:szCs w:val="24"/>
        </w:rPr>
        <w:t>a</w:t>
      </w:r>
      <w:proofErr w:type="spellEnd"/>
      <w:r w:rsidR="00D07099" w:rsidRPr="00A23F22">
        <w:rPr>
          <w:sz w:val="24"/>
          <w:szCs w:val="24"/>
        </w:rPr>
        <w:t xml:space="preserve"> </w:t>
      </w:r>
      <w:r w:rsidR="0001310B">
        <w:rPr>
          <w:sz w:val="24"/>
          <w:szCs w:val="24"/>
        </w:rPr>
        <w:t xml:space="preserve">od </w:t>
      </w:r>
      <w:proofErr w:type="spellStart"/>
      <w:r w:rsidR="005F371C" w:rsidRPr="00A23F22">
        <w:rPr>
          <w:sz w:val="24"/>
          <w:szCs w:val="24"/>
        </w:rPr>
        <w:t>koji</w:t>
      </w:r>
      <w:r w:rsidR="0001310B">
        <w:rPr>
          <w:sz w:val="24"/>
          <w:szCs w:val="24"/>
        </w:rPr>
        <w:t>h</w:t>
      </w:r>
      <w:proofErr w:type="spellEnd"/>
      <w:r w:rsidR="0001310B">
        <w:rPr>
          <w:sz w:val="24"/>
          <w:szCs w:val="24"/>
        </w:rPr>
        <w:t xml:space="preserve"> 6</w:t>
      </w:r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4F530917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69169122" w:rsidR="005F371C" w:rsidRPr="00A23F22" w:rsidRDefault="00F23AB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M.V.</w:t>
            </w:r>
          </w:p>
        </w:tc>
        <w:tc>
          <w:tcPr>
            <w:tcW w:w="1890" w:type="dxa"/>
          </w:tcPr>
          <w:p w14:paraId="039850EB" w14:textId="6B259446" w:rsidR="005F371C" w:rsidRPr="00A23F22" w:rsidRDefault="00F23AB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1992.</w:t>
            </w:r>
          </w:p>
        </w:tc>
        <w:tc>
          <w:tcPr>
            <w:tcW w:w="1885" w:type="dxa"/>
          </w:tcPr>
          <w:p w14:paraId="0564FF0C" w14:textId="1BB62F0D" w:rsidR="005F371C" w:rsidRPr="00A23F22" w:rsidRDefault="00F23ABA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tr w:rsidR="00F23ABA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7777777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60D3C491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N.K.</w:t>
            </w:r>
          </w:p>
        </w:tc>
        <w:tc>
          <w:tcPr>
            <w:tcW w:w="1890" w:type="dxa"/>
          </w:tcPr>
          <w:p w14:paraId="3B818586" w14:textId="3728E7C3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72EC2EBB" w14:textId="374FEBB2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23ABA" w:rsidRPr="00A23F22" w14:paraId="1CA60D79" w14:textId="77777777" w:rsidTr="00A23F22">
        <w:trPr>
          <w:jc w:val="center"/>
        </w:trPr>
        <w:tc>
          <w:tcPr>
            <w:tcW w:w="559" w:type="dxa"/>
          </w:tcPr>
          <w:p w14:paraId="7EF8966C" w14:textId="40B2611B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21AF978F" w14:textId="4E632A8D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</w:t>
            </w:r>
          </w:p>
        </w:tc>
        <w:tc>
          <w:tcPr>
            <w:tcW w:w="1890" w:type="dxa"/>
          </w:tcPr>
          <w:p w14:paraId="68561932" w14:textId="79C4A1F8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1993.</w:t>
            </w:r>
          </w:p>
        </w:tc>
        <w:tc>
          <w:tcPr>
            <w:tcW w:w="1885" w:type="dxa"/>
          </w:tcPr>
          <w:p w14:paraId="4A11819C" w14:textId="0786A1E8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23ABA" w:rsidRPr="00A23F22" w14:paraId="5AA2674E" w14:textId="77777777" w:rsidTr="00A23F22">
        <w:trPr>
          <w:jc w:val="center"/>
        </w:trPr>
        <w:tc>
          <w:tcPr>
            <w:tcW w:w="559" w:type="dxa"/>
          </w:tcPr>
          <w:p w14:paraId="34E6E7E5" w14:textId="71FA1B49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14:paraId="195B0F37" w14:textId="6339C058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M.H.</w:t>
            </w:r>
          </w:p>
        </w:tc>
        <w:tc>
          <w:tcPr>
            <w:tcW w:w="1890" w:type="dxa"/>
          </w:tcPr>
          <w:p w14:paraId="55636E59" w14:textId="18B10C6C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1995.</w:t>
            </w:r>
          </w:p>
        </w:tc>
        <w:tc>
          <w:tcPr>
            <w:tcW w:w="1885" w:type="dxa"/>
          </w:tcPr>
          <w:p w14:paraId="628D1D1A" w14:textId="5B365C3B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23ABA" w:rsidRPr="00A23F22" w14:paraId="6B6B41F4" w14:textId="77777777" w:rsidTr="00A23F22">
        <w:trPr>
          <w:jc w:val="center"/>
        </w:trPr>
        <w:tc>
          <w:tcPr>
            <w:tcW w:w="559" w:type="dxa"/>
          </w:tcPr>
          <w:p w14:paraId="32B26F98" w14:textId="0FE120B2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10" w:type="dxa"/>
          </w:tcPr>
          <w:p w14:paraId="026FFB1B" w14:textId="3190C4E0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</w:t>
            </w:r>
          </w:p>
        </w:tc>
        <w:tc>
          <w:tcPr>
            <w:tcW w:w="1890" w:type="dxa"/>
          </w:tcPr>
          <w:p w14:paraId="1D00E8F8" w14:textId="5C9BACA8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  <w:tc>
          <w:tcPr>
            <w:tcW w:w="1885" w:type="dxa"/>
          </w:tcPr>
          <w:p w14:paraId="46F62160" w14:textId="5B3B9F0B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tr w:rsidR="00F23ABA" w:rsidRPr="00A23F22" w14:paraId="3752C712" w14:textId="77777777" w:rsidTr="00A23F22">
        <w:trPr>
          <w:jc w:val="center"/>
        </w:trPr>
        <w:tc>
          <w:tcPr>
            <w:tcW w:w="559" w:type="dxa"/>
          </w:tcPr>
          <w:p w14:paraId="5B558721" w14:textId="5DF977DA" w:rsidR="00F23ABA" w:rsidRPr="00A23F22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0" w:type="dxa"/>
          </w:tcPr>
          <w:p w14:paraId="7B2DEC1B" w14:textId="674D3A3F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K.J.</w:t>
            </w:r>
          </w:p>
        </w:tc>
        <w:tc>
          <w:tcPr>
            <w:tcW w:w="1890" w:type="dxa"/>
          </w:tcPr>
          <w:p w14:paraId="2BC7AFF6" w14:textId="3786270F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1995.</w:t>
            </w:r>
          </w:p>
        </w:tc>
        <w:tc>
          <w:tcPr>
            <w:tcW w:w="1885" w:type="dxa"/>
          </w:tcPr>
          <w:p w14:paraId="26B6366D" w14:textId="30952A24" w:rsidR="00F23ABA" w:rsidRDefault="00F23ABA" w:rsidP="00F23ABA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bookmarkEnd w:id="2"/>
    </w:tbl>
    <w:p w14:paraId="7BD5F5F0" w14:textId="77777777" w:rsidR="00D07099" w:rsidRPr="00A23F22" w:rsidRDefault="00D07099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4E93F486" w14:textId="77777777" w:rsidR="00A23F22" w:rsidRPr="00A23F22" w:rsidRDefault="00A23F22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CFE188E" w14:textId="37CFE1E8" w:rsidR="00BE4D5B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za</w:t>
      </w:r>
      <w:proofErr w:type="spellEnd"/>
      <w:r w:rsidRPr="00A23F22">
        <w:rPr>
          <w:position w:val="-1"/>
          <w:sz w:val="24"/>
          <w:szCs w:val="24"/>
        </w:rPr>
        <w:t xml:space="preserve">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6EFDAD2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2021./2022.</w:t>
      </w:r>
    </w:p>
    <w:p w14:paraId="24A099BB" w14:textId="39F272BA" w:rsidR="00FB65F6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366E716A" w14:textId="1BB497AC" w:rsidR="00CF364D" w:rsidRPr="00CF364D" w:rsidRDefault="00CF364D" w:rsidP="00F841CD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 w:rsidRPr="00CF364D">
        <w:rPr>
          <w:sz w:val="24"/>
          <w:szCs w:val="24"/>
        </w:rPr>
        <w:t>Odluku</w:t>
      </w:r>
      <w:proofErr w:type="spellEnd"/>
      <w:r w:rsidRPr="00CF364D">
        <w:rPr>
          <w:sz w:val="24"/>
          <w:szCs w:val="24"/>
        </w:rPr>
        <w:t xml:space="preserve"> o </w:t>
      </w:r>
      <w:proofErr w:type="spellStart"/>
      <w:r w:rsidRPr="00CF364D">
        <w:rPr>
          <w:sz w:val="24"/>
          <w:szCs w:val="24"/>
        </w:rPr>
        <w:t>donošenju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kurikuluma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za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nastavni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predmet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tjelesne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i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zdravstvene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kulture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za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osnovne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škole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i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gimnazije</w:t>
      </w:r>
      <w:proofErr w:type="spellEnd"/>
      <w:r w:rsidRPr="00CF364D">
        <w:rPr>
          <w:sz w:val="24"/>
          <w:szCs w:val="24"/>
        </w:rPr>
        <w:t xml:space="preserve"> u </w:t>
      </w:r>
      <w:proofErr w:type="spellStart"/>
      <w:r w:rsidRPr="00CF364D">
        <w:rPr>
          <w:sz w:val="24"/>
          <w:szCs w:val="24"/>
        </w:rPr>
        <w:t>Republici</w:t>
      </w:r>
      <w:proofErr w:type="spellEnd"/>
      <w:r w:rsidRPr="00CF364D">
        <w:rPr>
          <w:sz w:val="24"/>
          <w:szCs w:val="24"/>
        </w:rPr>
        <w:t xml:space="preserve"> </w:t>
      </w:r>
      <w:proofErr w:type="spellStart"/>
      <w:r w:rsidRPr="00CF364D">
        <w:rPr>
          <w:sz w:val="24"/>
          <w:szCs w:val="24"/>
        </w:rPr>
        <w:t>Hrvatskoj</w:t>
      </w:r>
      <w:proofErr w:type="spellEnd"/>
    </w:p>
    <w:p w14:paraId="4AF511A7" w14:textId="77777777" w:rsidR="00A23F22" w:rsidRPr="00CF364D" w:rsidRDefault="00A23F22" w:rsidP="00A23F22">
      <w:pPr>
        <w:spacing w:line="276" w:lineRule="auto"/>
        <w:ind w:left="116"/>
        <w:rPr>
          <w:b/>
          <w:sz w:val="24"/>
          <w:szCs w:val="24"/>
        </w:rPr>
      </w:pPr>
    </w:p>
    <w:p w14:paraId="762281F1" w14:textId="77777777" w:rsidR="00A23F22" w:rsidRDefault="00A23F22" w:rsidP="00A23F22">
      <w:pPr>
        <w:spacing w:line="276" w:lineRule="auto"/>
        <w:ind w:left="116"/>
        <w:rPr>
          <w:sz w:val="24"/>
          <w:szCs w:val="24"/>
        </w:rPr>
      </w:pPr>
    </w:p>
    <w:p w14:paraId="6F2C8AAA" w14:textId="42ACD036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="00FC1773">
        <w:rPr>
          <w:sz w:val="24"/>
          <w:szCs w:val="24"/>
        </w:rPr>
        <w:t xml:space="preserve">, </w:t>
      </w:r>
      <w:proofErr w:type="spellStart"/>
      <w:r w:rsidR="00FC1773">
        <w:rPr>
          <w:sz w:val="24"/>
          <w:szCs w:val="24"/>
        </w:rPr>
        <w:t>ukoliko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su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ostvarili</w:t>
      </w:r>
      <w:proofErr w:type="spellEnd"/>
      <w:r w:rsidR="00FC1773">
        <w:rPr>
          <w:sz w:val="24"/>
          <w:szCs w:val="24"/>
        </w:rPr>
        <w:t xml:space="preserve"> </w:t>
      </w:r>
      <w:proofErr w:type="spellStart"/>
      <w:r w:rsidR="00FC1773">
        <w:rPr>
          <w:sz w:val="24"/>
          <w:szCs w:val="24"/>
        </w:rPr>
        <w:t>najmanje</w:t>
      </w:r>
      <w:proofErr w:type="spellEnd"/>
      <w:r w:rsidR="00FC1773">
        <w:rPr>
          <w:sz w:val="24"/>
          <w:szCs w:val="24"/>
        </w:rPr>
        <w:t xml:space="preserve"> 5 </w:t>
      </w:r>
      <w:proofErr w:type="spellStart"/>
      <w:r w:rsidR="00FC1773">
        <w:rPr>
          <w:sz w:val="24"/>
          <w:szCs w:val="24"/>
        </w:rPr>
        <w:t>bodova</w:t>
      </w:r>
      <w:proofErr w:type="spellEnd"/>
      <w:r w:rsidR="00FC1773">
        <w:rPr>
          <w:sz w:val="24"/>
          <w:szCs w:val="24"/>
        </w:rPr>
        <w:t xml:space="preserve">. 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lastRenderedPageBreak/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koja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jednaka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sve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>.</w:t>
      </w:r>
    </w:p>
    <w:p w14:paraId="30B47700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58E72948" w:rsidR="00BE4D5B" w:rsidRPr="00A23F22" w:rsidRDefault="00656DA4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rad </w:t>
      </w:r>
      <w:proofErr w:type="spellStart"/>
      <w:r w:rsidRPr="00A23F22">
        <w:rPr>
          <w:sz w:val="24"/>
          <w:szCs w:val="24"/>
        </w:rPr>
        <w:t>učitelja</w:t>
      </w:r>
      <w:proofErr w:type="spellEnd"/>
    </w:p>
    <w:p w14:paraId="198ECE4C" w14:textId="11CCDE1D" w:rsidR="00BE4D5B" w:rsidRPr="00A23F22" w:rsidRDefault="00656DA4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30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="00822319" w:rsidRPr="00A23F22">
        <w:rPr>
          <w:sz w:val="24"/>
          <w:szCs w:val="24"/>
        </w:rPr>
        <w:t>Za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vrijeme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pismene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provjere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znanja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i/>
          <w:sz w:val="24"/>
          <w:szCs w:val="24"/>
        </w:rPr>
        <w:t>nije</w:t>
      </w:r>
      <w:proofErr w:type="spellEnd"/>
      <w:r w:rsidR="00822319" w:rsidRPr="00A23F22">
        <w:rPr>
          <w:i/>
          <w:sz w:val="24"/>
          <w:szCs w:val="24"/>
        </w:rPr>
        <w:t xml:space="preserve"> </w:t>
      </w:r>
      <w:proofErr w:type="spellStart"/>
      <w:r w:rsidR="00822319" w:rsidRPr="00A23F22">
        <w:rPr>
          <w:i/>
          <w:sz w:val="24"/>
          <w:szCs w:val="24"/>
        </w:rPr>
        <w:t>dopušteno</w:t>
      </w:r>
      <w:proofErr w:type="spellEnd"/>
      <w:r w:rsidR="00822319"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777777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za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CF364D">
      <w:pgSz w:w="11920" w:h="16840"/>
      <w:pgMar w:top="1560" w:right="1300" w:bottom="241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B"/>
    <w:rsid w:val="0001310B"/>
    <w:rsid w:val="00014A66"/>
    <w:rsid w:val="000E7A36"/>
    <w:rsid w:val="00295E0A"/>
    <w:rsid w:val="002D3B36"/>
    <w:rsid w:val="00300EE2"/>
    <w:rsid w:val="00326153"/>
    <w:rsid w:val="004A2FD0"/>
    <w:rsid w:val="005F371C"/>
    <w:rsid w:val="00656DA4"/>
    <w:rsid w:val="006F39DD"/>
    <w:rsid w:val="00745756"/>
    <w:rsid w:val="00822319"/>
    <w:rsid w:val="00855A11"/>
    <w:rsid w:val="008E6820"/>
    <w:rsid w:val="008F4111"/>
    <w:rsid w:val="009A5697"/>
    <w:rsid w:val="009D5E84"/>
    <w:rsid w:val="00A227A5"/>
    <w:rsid w:val="00A23F22"/>
    <w:rsid w:val="00B76B85"/>
    <w:rsid w:val="00BD1C8E"/>
    <w:rsid w:val="00BE4D5B"/>
    <w:rsid w:val="00C1153B"/>
    <w:rsid w:val="00C80052"/>
    <w:rsid w:val="00CD7EFB"/>
    <w:rsid w:val="00CE3C8E"/>
    <w:rsid w:val="00CF364D"/>
    <w:rsid w:val="00D07099"/>
    <w:rsid w:val="00D64B34"/>
    <w:rsid w:val="00D75AFE"/>
    <w:rsid w:val="00F23ABA"/>
    <w:rsid w:val="00F31C3B"/>
    <w:rsid w:val="00FB65F6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4">
    <w:name w:val="box_459474"/>
    <w:basedOn w:val="Normal"/>
    <w:rsid w:val="00CF364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Zbornica</cp:lastModifiedBy>
  <cp:revision>2</cp:revision>
  <dcterms:created xsi:type="dcterms:W3CDTF">2021-12-16T08:46:00Z</dcterms:created>
  <dcterms:modified xsi:type="dcterms:W3CDTF">2021-12-16T08:46:00Z</dcterms:modified>
</cp:coreProperties>
</file>